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DD0" w:rsidRDefault="00FE3213">
      <w:pPr>
        <w:pBdr>
          <w:top w:val="nil"/>
          <w:left w:val="nil"/>
          <w:bottom w:val="nil"/>
          <w:right w:val="nil"/>
          <w:between w:val="nil"/>
        </w:pBdr>
        <w:tabs>
          <w:tab w:val="right" w:pos="9639"/>
        </w:tabs>
        <w:spacing w:after="0"/>
        <w:rPr>
          <w:rFonts w:ascii="Arial" w:eastAsia="Arial" w:hAnsi="Arial" w:cs="Arial"/>
          <w:color w:val="000000"/>
          <w:sz w:val="24"/>
          <w:szCs w:val="24"/>
        </w:rPr>
      </w:pPr>
      <w:r>
        <w:rPr>
          <w:rFonts w:ascii="Arial" w:eastAsia="Arial" w:hAnsi="Arial" w:cs="Arial"/>
          <w:b/>
          <w:color w:val="000000"/>
          <w:sz w:val="24"/>
          <w:szCs w:val="24"/>
        </w:rPr>
        <w:t xml:space="preserve">3GPP TSG-RAN WG2 #102                                                                          </w:t>
      </w:r>
      <w:r w:rsidR="00455FA0" w:rsidRPr="00455FA0">
        <w:rPr>
          <w:rFonts w:ascii="Arial" w:eastAsia="Arial" w:hAnsi="Arial" w:cs="Arial"/>
          <w:b/>
          <w:color w:val="000000"/>
          <w:sz w:val="24"/>
          <w:szCs w:val="24"/>
        </w:rPr>
        <w:t>R2-1808769</w:t>
      </w:r>
    </w:p>
    <w:p w:rsidR="00705DD0" w:rsidRDefault="00FE3213">
      <w:pPr>
        <w:pBdr>
          <w:top w:val="nil"/>
          <w:left w:val="nil"/>
          <w:bottom w:val="nil"/>
          <w:right w:val="nil"/>
          <w:between w:val="nil"/>
        </w:pBdr>
        <w:tabs>
          <w:tab w:val="right" w:pos="9639"/>
        </w:tabs>
        <w:spacing w:after="0"/>
        <w:rPr>
          <w:rFonts w:ascii="Arial" w:eastAsia="Arial" w:hAnsi="Arial" w:cs="Arial"/>
          <w:color w:val="000000"/>
          <w:sz w:val="24"/>
          <w:szCs w:val="24"/>
        </w:rPr>
      </w:pPr>
      <w:r>
        <w:rPr>
          <w:rFonts w:ascii="Arial" w:eastAsia="Arial" w:hAnsi="Arial" w:cs="Arial"/>
          <w:b/>
          <w:color w:val="000000"/>
          <w:sz w:val="24"/>
          <w:szCs w:val="24"/>
        </w:rPr>
        <w:t xml:space="preserve">Busan, Korea, 21 – 25 May, 2018                                       </w:t>
      </w:r>
    </w:p>
    <w:p w:rsidR="00705DD0" w:rsidRDefault="00705DD0">
      <w:pPr>
        <w:pBdr>
          <w:top w:val="nil"/>
          <w:left w:val="nil"/>
          <w:bottom w:val="nil"/>
          <w:right w:val="nil"/>
          <w:between w:val="nil"/>
        </w:pBdr>
        <w:spacing w:after="120"/>
        <w:rPr>
          <w:rFonts w:ascii="Arial" w:eastAsia="Arial" w:hAnsi="Arial" w:cs="Arial"/>
          <w:color w:val="000000"/>
          <w:sz w:val="24"/>
          <w:szCs w:val="24"/>
        </w:rPr>
      </w:pPr>
    </w:p>
    <w:tbl>
      <w:tblPr>
        <w:tblStyle w:val="a"/>
        <w:tblW w:w="9641" w:type="dxa"/>
        <w:tblInd w:w="42" w:type="dxa"/>
        <w:tblLayout w:type="fixed"/>
        <w:tblLook w:val="0000" w:firstRow="0" w:lastRow="0" w:firstColumn="0" w:lastColumn="0" w:noHBand="0" w:noVBand="0"/>
      </w:tblPr>
      <w:tblGrid>
        <w:gridCol w:w="142"/>
        <w:gridCol w:w="2126"/>
        <w:gridCol w:w="709"/>
        <w:gridCol w:w="1276"/>
        <w:gridCol w:w="709"/>
        <w:gridCol w:w="425"/>
        <w:gridCol w:w="2693"/>
        <w:gridCol w:w="1418"/>
        <w:gridCol w:w="143"/>
      </w:tblGrid>
      <w:tr w:rsidR="00705DD0">
        <w:tc>
          <w:tcPr>
            <w:tcW w:w="9641" w:type="dxa"/>
            <w:gridSpan w:val="9"/>
            <w:tcBorders>
              <w:top w:val="single" w:sz="4" w:space="0" w:color="000000"/>
              <w:left w:val="single" w:sz="4" w:space="0" w:color="000000"/>
              <w:right w:val="single" w:sz="4" w:space="0" w:color="000000"/>
            </w:tcBorders>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i/>
                <w:color w:val="000000"/>
                <w:sz w:val="14"/>
                <w:szCs w:val="14"/>
              </w:rPr>
              <w:t>CR-Form-v11.2</w:t>
            </w:r>
          </w:p>
        </w:tc>
      </w:tr>
      <w:tr w:rsidR="00705DD0">
        <w:tc>
          <w:tcPr>
            <w:tcW w:w="9641" w:type="dxa"/>
            <w:gridSpan w:val="9"/>
            <w:tcBorders>
              <w:left w:val="single" w:sz="4" w:space="0" w:color="000000"/>
              <w:right w:val="single" w:sz="4" w:space="0" w:color="000000"/>
            </w:tcBorders>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CHANGE REQUEST</w:t>
            </w:r>
          </w:p>
        </w:tc>
      </w:tr>
      <w:tr w:rsidR="00705DD0">
        <w:tc>
          <w:tcPr>
            <w:tcW w:w="9641" w:type="dxa"/>
            <w:gridSpan w:val="9"/>
            <w:tcBorders>
              <w:left w:val="single" w:sz="4" w:space="0" w:color="000000"/>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42" w:type="dxa"/>
            <w:tcBorders>
              <w:left w:val="single" w:sz="4" w:space="0" w:color="000000"/>
            </w:tcBorders>
            <w:shd w:val="clear" w:color="auto" w:fill="auto"/>
          </w:tcPr>
          <w:p w:rsidR="00705DD0" w:rsidRDefault="00705DD0">
            <w:pPr>
              <w:pBdr>
                <w:top w:val="nil"/>
                <w:left w:val="nil"/>
                <w:bottom w:val="nil"/>
                <w:right w:val="nil"/>
                <w:between w:val="nil"/>
              </w:pBdr>
              <w:spacing w:after="0"/>
              <w:jc w:val="right"/>
              <w:rPr>
                <w:rFonts w:ascii="Arial" w:eastAsia="Arial" w:hAnsi="Arial" w:cs="Arial"/>
                <w:color w:val="000000"/>
              </w:rPr>
            </w:pPr>
          </w:p>
        </w:tc>
        <w:tc>
          <w:tcPr>
            <w:tcW w:w="2126" w:type="dxa"/>
            <w:shd w:val="clear" w:color="auto" w:fill="FFFFB3"/>
          </w:tcPr>
          <w:p w:rsidR="00705DD0" w:rsidRDefault="00FE3213">
            <w:pPr>
              <w:pBdr>
                <w:top w:val="nil"/>
                <w:left w:val="nil"/>
                <w:bottom w:val="nil"/>
                <w:right w:val="nil"/>
                <w:between w:val="nil"/>
              </w:pBdr>
              <w:spacing w:after="0"/>
              <w:rPr>
                <w:rFonts w:ascii="Arial" w:eastAsia="Arial" w:hAnsi="Arial" w:cs="Arial"/>
                <w:color w:val="000000"/>
                <w:sz w:val="28"/>
                <w:szCs w:val="28"/>
              </w:rPr>
            </w:pPr>
            <w:r>
              <w:rPr>
                <w:rFonts w:ascii="Arial" w:eastAsia="Arial" w:hAnsi="Arial" w:cs="Arial"/>
                <w:b/>
                <w:color w:val="000000"/>
                <w:sz w:val="28"/>
                <w:szCs w:val="28"/>
              </w:rPr>
              <w:t>36.321</w:t>
            </w:r>
          </w:p>
        </w:tc>
        <w:tc>
          <w:tcPr>
            <w:tcW w:w="709" w:type="dxa"/>
            <w:shd w:val="clear" w:color="auto" w:fill="auto"/>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rsidR="00705DD0" w:rsidRDefault="00E1062D">
            <w:pPr>
              <w:pBdr>
                <w:top w:val="nil"/>
                <w:left w:val="nil"/>
                <w:bottom w:val="nil"/>
                <w:right w:val="nil"/>
                <w:between w:val="nil"/>
              </w:pBdr>
              <w:spacing w:after="0"/>
              <w:rPr>
                <w:rFonts w:ascii="Arial" w:eastAsia="Arial" w:hAnsi="Arial" w:cs="Arial"/>
                <w:color w:val="000000"/>
              </w:rPr>
            </w:pPr>
            <w:r w:rsidRPr="00E1062D">
              <w:rPr>
                <w:rFonts w:ascii="Arial" w:eastAsia="Arial" w:hAnsi="Arial" w:cs="Arial"/>
                <w:b/>
                <w:color w:val="000000"/>
                <w:sz w:val="28"/>
                <w:szCs w:val="28"/>
              </w:rPr>
              <w:t>1285</w:t>
            </w:r>
          </w:p>
        </w:tc>
        <w:tc>
          <w:tcPr>
            <w:tcW w:w="709" w:type="dxa"/>
            <w:shd w:val="clear" w:color="auto" w:fill="auto"/>
          </w:tcPr>
          <w:p w:rsidR="00705DD0" w:rsidRDefault="00FE3213">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425" w:type="dxa"/>
            <w:shd w:val="clear" w:color="auto" w:fill="FFFFB3"/>
          </w:tcPr>
          <w:p w:rsidR="00705DD0" w:rsidRPr="00455FA0" w:rsidRDefault="00455FA0">
            <w:pPr>
              <w:pBdr>
                <w:top w:val="nil"/>
                <w:left w:val="nil"/>
                <w:bottom w:val="nil"/>
                <w:right w:val="nil"/>
                <w:between w:val="nil"/>
              </w:pBdr>
              <w:spacing w:after="0"/>
              <w:rPr>
                <w:rFonts w:ascii="Arial" w:eastAsia="Arial" w:hAnsi="Arial" w:cs="Arial"/>
                <w:b/>
                <w:color w:val="000000"/>
                <w:sz w:val="28"/>
                <w:szCs w:val="28"/>
              </w:rPr>
            </w:pPr>
            <w:r w:rsidRPr="00455FA0">
              <w:rPr>
                <w:rFonts w:ascii="Arial" w:eastAsia="Arial" w:hAnsi="Arial" w:cs="Arial"/>
                <w:b/>
                <w:color w:val="000000"/>
                <w:sz w:val="28"/>
                <w:szCs w:val="28"/>
              </w:rPr>
              <w:t>1</w:t>
            </w:r>
          </w:p>
        </w:tc>
        <w:tc>
          <w:tcPr>
            <w:tcW w:w="2693" w:type="dxa"/>
            <w:shd w:val="clear" w:color="auto" w:fill="auto"/>
          </w:tcPr>
          <w:p w:rsidR="00705DD0" w:rsidRDefault="00FE3213">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418" w:type="dxa"/>
            <w:shd w:val="clear" w:color="auto" w:fill="FFFFB3"/>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15.1.0</w:t>
            </w:r>
          </w:p>
        </w:tc>
        <w:tc>
          <w:tcPr>
            <w:tcW w:w="143" w:type="dxa"/>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p>
        </w:tc>
      </w:tr>
      <w:tr w:rsidR="00705DD0">
        <w:tc>
          <w:tcPr>
            <w:tcW w:w="9641" w:type="dxa"/>
            <w:gridSpan w:val="9"/>
            <w:tcBorders>
              <w:left w:val="single" w:sz="4" w:space="0" w:color="000000"/>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bookmarkStart w:id="0" w:name="_GoBack"/>
            <w:bookmarkEnd w:id="0"/>
          </w:p>
        </w:tc>
      </w:tr>
      <w:tr w:rsidR="00705DD0">
        <w:tc>
          <w:tcPr>
            <w:tcW w:w="9641" w:type="dxa"/>
            <w:gridSpan w:val="9"/>
            <w:tcBorders>
              <w:top w:val="single" w:sz="4" w:space="0" w:color="000000"/>
            </w:tcBorders>
          </w:tcPr>
          <w:p w:rsidR="00705DD0" w:rsidRDefault="00FE3213">
            <w:pPr>
              <w:pBdr>
                <w:top w:val="nil"/>
                <w:left w:val="nil"/>
                <w:bottom w:val="nil"/>
                <w:right w:val="nil"/>
                <w:between w:val="nil"/>
              </w:pBdr>
              <w:spacing w:after="0"/>
              <w:jc w:val="center"/>
              <w:rPr>
                <w:rFonts w:ascii="Arial" w:eastAsia="Arial" w:hAnsi="Arial" w:cs="Arial"/>
                <w:color w:val="000000"/>
              </w:rPr>
            </w:pPr>
            <w:bookmarkStart w:id="1" w:name="_gjdgxs" w:colFirst="0" w:colLast="0"/>
            <w:bookmarkEnd w:id="1"/>
            <w:r>
              <w:rPr>
                <w:rFonts w:ascii="Arial" w:eastAsia="Arial" w:hAnsi="Arial" w:cs="Arial"/>
                <w:i/>
                <w:color w:val="000000"/>
              </w:rPr>
              <w:t xml:space="preserve">For </w:t>
            </w:r>
            <w:hyperlink r:id="rId6">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7">
              <w:r>
                <w:rPr>
                  <w:rFonts w:ascii="Arial" w:eastAsia="Arial" w:hAnsi="Arial" w:cs="Arial"/>
                  <w:i/>
                  <w:color w:val="0000FF"/>
                  <w:u w:val="single"/>
                </w:rPr>
                <w:t>http://www.3gpp.org/Change-Requests</w:t>
              </w:r>
            </w:hyperlink>
            <w:r>
              <w:rPr>
                <w:rFonts w:ascii="Arial" w:eastAsia="Arial" w:hAnsi="Arial" w:cs="Arial"/>
                <w:i/>
                <w:color w:val="000000"/>
              </w:rPr>
              <w:t>.</w:t>
            </w:r>
          </w:p>
        </w:tc>
      </w:tr>
      <w:tr w:rsidR="00705DD0">
        <w:tc>
          <w:tcPr>
            <w:tcW w:w="9641" w:type="dxa"/>
            <w:gridSpan w:val="9"/>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bl>
    <w:p w:rsidR="00705DD0" w:rsidRDefault="00705DD0">
      <w:pPr>
        <w:rPr>
          <w:sz w:val="8"/>
          <w:szCs w:val="8"/>
        </w:rPr>
      </w:pPr>
    </w:p>
    <w:tbl>
      <w:tblPr>
        <w:tblStyle w:val="a0"/>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705DD0">
        <w:tc>
          <w:tcPr>
            <w:tcW w:w="2835" w:type="dxa"/>
            <w:shd w:val="clear" w:color="auto" w:fill="auto"/>
          </w:tcPr>
          <w:p w:rsidR="00705DD0" w:rsidRDefault="00FE3213">
            <w:pPr>
              <w:pBdr>
                <w:top w:val="nil"/>
                <w:left w:val="nil"/>
                <w:bottom w:val="nil"/>
                <w:right w:val="nil"/>
                <w:between w:val="nil"/>
              </w:pBdr>
              <w:tabs>
                <w:tab w:val="right" w:pos="2751"/>
              </w:tabs>
              <w:spacing w:after="0"/>
              <w:rPr>
                <w:rFonts w:ascii="Arial" w:eastAsia="Arial" w:hAnsi="Arial" w:cs="Arial"/>
                <w:color w:val="000000"/>
              </w:rPr>
            </w:pPr>
            <w:r>
              <w:rPr>
                <w:rFonts w:ascii="Arial" w:eastAsia="Arial" w:hAnsi="Arial" w:cs="Arial"/>
                <w:b/>
                <w:i/>
                <w:color w:val="000000"/>
              </w:rPr>
              <w:t>Proposed change affects:</w:t>
            </w:r>
          </w:p>
        </w:tc>
        <w:tc>
          <w:tcPr>
            <w:tcW w:w="1418" w:type="dxa"/>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709" w:type="dxa"/>
            <w:tcBorders>
              <w:left w:val="single" w:sz="4" w:space="0" w:color="000000"/>
            </w:tcBorders>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126" w:type="dxa"/>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1418" w:type="dxa"/>
            <w:tcBorders>
              <w:left w:val="nil"/>
            </w:tcBorders>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r>
    </w:tbl>
    <w:p w:rsidR="00705DD0" w:rsidRDefault="00705DD0">
      <w:pPr>
        <w:rPr>
          <w:sz w:val="8"/>
          <w:szCs w:val="8"/>
        </w:rPr>
      </w:pPr>
    </w:p>
    <w:tbl>
      <w:tblPr>
        <w:tblStyle w:val="a1"/>
        <w:tblW w:w="9641" w:type="dxa"/>
        <w:tblInd w:w="42" w:type="dxa"/>
        <w:tblLayout w:type="fixed"/>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5DD0">
        <w:tc>
          <w:tcPr>
            <w:tcW w:w="9641" w:type="dxa"/>
            <w:gridSpan w:val="11"/>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843" w:type="dxa"/>
            <w:tcBorders>
              <w:top w:val="single" w:sz="4" w:space="0" w:color="000000"/>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Title:</w:t>
            </w:r>
            <w:r>
              <w:rPr>
                <w:rFonts w:ascii="Arial" w:eastAsia="Arial" w:hAnsi="Arial" w:cs="Arial"/>
                <w:b/>
                <w:i/>
                <w:color w:val="000000"/>
              </w:rPr>
              <w:tab/>
            </w:r>
          </w:p>
        </w:tc>
        <w:tc>
          <w:tcPr>
            <w:tcW w:w="7798" w:type="dxa"/>
            <w:gridSpan w:val="10"/>
            <w:tcBorders>
              <w:top w:val="single" w:sz="4" w:space="0" w:color="000000"/>
              <w:right w:val="single" w:sz="4" w:space="0" w:color="000000"/>
            </w:tcBorders>
            <w:shd w:val="clear" w:color="auto" w:fill="FFFFB3"/>
          </w:tcPr>
          <w:p w:rsidR="00705DD0" w:rsidRDefault="00FD4C02">
            <w:pPr>
              <w:pBdr>
                <w:top w:val="nil"/>
                <w:left w:val="nil"/>
                <w:bottom w:val="nil"/>
                <w:right w:val="nil"/>
                <w:between w:val="nil"/>
              </w:pBdr>
              <w:spacing w:after="0"/>
              <w:ind w:left="100"/>
              <w:rPr>
                <w:rFonts w:ascii="Arial" w:eastAsia="Arial" w:hAnsi="Arial" w:cs="Arial"/>
                <w:color w:val="000000"/>
              </w:rPr>
            </w:pPr>
            <w:r w:rsidRPr="00FD4C02">
              <w:rPr>
                <w:rFonts w:ascii="Arial" w:eastAsia="Arial" w:hAnsi="Arial" w:cs="Arial"/>
                <w:color w:val="000000"/>
              </w:rPr>
              <w:t xml:space="preserve">Flush HARQ buffer upon skipping </w:t>
            </w:r>
            <w:r>
              <w:rPr>
                <w:rFonts w:ascii="Arial" w:eastAsia="Arial" w:hAnsi="Arial" w:cs="Arial"/>
                <w:color w:val="000000"/>
              </w:rPr>
              <w:t>a UL transmission</w:t>
            </w:r>
          </w:p>
        </w:tc>
      </w:tr>
      <w:tr w:rsidR="00705DD0">
        <w:tc>
          <w:tcPr>
            <w:tcW w:w="1843" w:type="dxa"/>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798" w:type="dxa"/>
            <w:gridSpan w:val="10"/>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843" w:type="dxa"/>
            <w:tcBorders>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Source to WG:</w:t>
            </w:r>
          </w:p>
        </w:tc>
        <w:tc>
          <w:tcPr>
            <w:tcW w:w="7798" w:type="dxa"/>
            <w:gridSpan w:val="10"/>
            <w:tcBorders>
              <w:right w:val="single" w:sz="4" w:space="0" w:color="000000"/>
            </w:tcBorders>
            <w:shd w:val="clear" w:color="auto" w:fill="FFFFB3"/>
          </w:tcPr>
          <w:p w:rsidR="00705DD0" w:rsidRPr="005C22A1" w:rsidRDefault="00FE3213" w:rsidP="00354C99">
            <w:pPr>
              <w:pBdr>
                <w:top w:val="nil"/>
                <w:left w:val="nil"/>
                <w:bottom w:val="nil"/>
                <w:right w:val="nil"/>
                <w:between w:val="nil"/>
              </w:pBdr>
              <w:spacing w:after="0"/>
              <w:ind w:left="100"/>
              <w:rPr>
                <w:rFonts w:ascii="Arial" w:eastAsiaTheme="minorEastAsia" w:hAnsi="Arial" w:cs="Arial"/>
                <w:color w:val="000000"/>
              </w:rPr>
            </w:pPr>
            <w:r>
              <w:rPr>
                <w:rFonts w:ascii="Arial" w:eastAsia="Arial" w:hAnsi="Arial" w:cs="Arial"/>
                <w:color w:val="000000"/>
              </w:rPr>
              <w:t>Google</w:t>
            </w:r>
            <w:r w:rsidR="00DD0195">
              <w:rPr>
                <w:rFonts w:ascii="Arial" w:eastAsia="Arial" w:hAnsi="Arial" w:cs="Arial"/>
                <w:color w:val="000000"/>
              </w:rPr>
              <w:t xml:space="preserve"> Inc.</w:t>
            </w:r>
            <w:r>
              <w:rPr>
                <w:rFonts w:ascii="Arial" w:eastAsia="Arial" w:hAnsi="Arial" w:cs="Arial"/>
                <w:color w:val="000000"/>
              </w:rPr>
              <w:t>, Nokia, Nokia Shanghai Bell, LG Electronics Inc</w:t>
            </w:r>
            <w:r w:rsidR="00317D74">
              <w:rPr>
                <w:rFonts w:ascii="Arial" w:eastAsia="Arial" w:hAnsi="Arial" w:cs="Arial"/>
                <w:color w:val="000000"/>
              </w:rPr>
              <w:t>.</w:t>
            </w:r>
            <w:r>
              <w:rPr>
                <w:rFonts w:ascii="Arial" w:eastAsia="Arial" w:hAnsi="Arial" w:cs="Arial"/>
                <w:color w:val="000000"/>
              </w:rPr>
              <w:t>, Lenovo, HTC, Panasonic</w:t>
            </w:r>
            <w:r w:rsidR="009B50D4">
              <w:rPr>
                <w:rFonts w:ascii="Arial" w:eastAsia="Arial" w:hAnsi="Arial" w:cs="Arial"/>
                <w:color w:val="000000"/>
              </w:rPr>
              <w:t>, Kyocera</w:t>
            </w:r>
            <w:r w:rsidR="00B77801">
              <w:rPr>
                <w:rFonts w:ascii="Arial" w:eastAsia="Arial" w:hAnsi="Arial" w:cs="Arial"/>
                <w:color w:val="000000"/>
              </w:rPr>
              <w:t xml:space="preserve">, </w:t>
            </w:r>
            <w:r w:rsidR="009B50D4">
              <w:rPr>
                <w:rFonts w:ascii="Arial" w:eastAsia="Arial" w:hAnsi="Arial" w:cs="Arial"/>
                <w:color w:val="000000"/>
              </w:rPr>
              <w:t>CHTTL</w:t>
            </w:r>
            <w:r w:rsidR="00455FA0">
              <w:rPr>
                <w:rFonts w:ascii="Arial" w:eastAsia="Arial" w:hAnsi="Arial" w:cs="Arial"/>
                <w:color w:val="000000"/>
              </w:rPr>
              <w:t xml:space="preserve">, </w:t>
            </w:r>
            <w:r w:rsidR="00455FA0" w:rsidRPr="009C7B2D">
              <w:rPr>
                <w:rFonts w:ascii="Arial" w:eastAsia="Arial" w:hAnsi="Arial" w:cs="Arial"/>
                <w:color w:val="000000"/>
              </w:rPr>
              <w:t>Verizon</w:t>
            </w:r>
          </w:p>
        </w:tc>
      </w:tr>
      <w:tr w:rsidR="00705DD0">
        <w:tc>
          <w:tcPr>
            <w:tcW w:w="1843" w:type="dxa"/>
            <w:tcBorders>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Source to TSG:</w:t>
            </w:r>
          </w:p>
        </w:tc>
        <w:tc>
          <w:tcPr>
            <w:tcW w:w="7798" w:type="dxa"/>
            <w:gridSpan w:val="10"/>
            <w:tcBorders>
              <w:right w:val="single" w:sz="4" w:space="0" w:color="000000"/>
            </w:tcBorders>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R2</w:t>
            </w:r>
          </w:p>
        </w:tc>
      </w:tr>
      <w:tr w:rsidR="00705DD0">
        <w:tc>
          <w:tcPr>
            <w:tcW w:w="1843" w:type="dxa"/>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798" w:type="dxa"/>
            <w:gridSpan w:val="10"/>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843" w:type="dxa"/>
            <w:tcBorders>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Work item code:</w:t>
            </w:r>
          </w:p>
        </w:tc>
        <w:tc>
          <w:tcPr>
            <w:tcW w:w="3260" w:type="dxa"/>
            <w:gridSpan w:val="5"/>
            <w:shd w:val="clear" w:color="auto" w:fill="FFFFB3"/>
          </w:tcPr>
          <w:p w:rsidR="00705DD0" w:rsidRDefault="00FE3213" w:rsidP="00F42B0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LTE_LATRED_L2-Core, </w:t>
            </w:r>
            <w:r w:rsidR="00F42B04">
              <w:rPr>
                <w:rFonts w:ascii="Arial" w:eastAsia="Arial" w:hAnsi="Arial" w:cs="Arial"/>
                <w:color w:val="000000"/>
              </w:rPr>
              <w:t>TEI14</w:t>
            </w:r>
          </w:p>
        </w:tc>
        <w:tc>
          <w:tcPr>
            <w:tcW w:w="994" w:type="dxa"/>
            <w:gridSpan w:val="2"/>
            <w:tcBorders>
              <w:left w:val="nil"/>
            </w:tcBorders>
            <w:shd w:val="clear" w:color="auto" w:fill="auto"/>
          </w:tcPr>
          <w:p w:rsidR="00705DD0" w:rsidRDefault="00705DD0">
            <w:pPr>
              <w:pBdr>
                <w:top w:val="nil"/>
                <w:left w:val="nil"/>
                <w:bottom w:val="nil"/>
                <w:right w:val="nil"/>
                <w:between w:val="nil"/>
              </w:pBdr>
              <w:spacing w:after="0"/>
              <w:ind w:right="100"/>
              <w:rPr>
                <w:rFonts w:ascii="Arial" w:eastAsia="Arial" w:hAnsi="Arial" w:cs="Arial"/>
                <w:color w:val="000000"/>
              </w:rPr>
            </w:pPr>
          </w:p>
        </w:tc>
        <w:tc>
          <w:tcPr>
            <w:tcW w:w="1417" w:type="dxa"/>
            <w:gridSpan w:val="2"/>
            <w:tcBorders>
              <w:left w:val="nil"/>
            </w:tcBorders>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rsidR="00705DD0" w:rsidRDefault="00FE3213" w:rsidP="003D6DA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2018-0</w:t>
            </w:r>
            <w:r w:rsidR="003D6DA4">
              <w:rPr>
                <w:rFonts w:ascii="Arial" w:eastAsia="Arial" w:hAnsi="Arial" w:cs="Arial"/>
                <w:color w:val="000000"/>
              </w:rPr>
              <w:t>5</w:t>
            </w:r>
            <w:r>
              <w:rPr>
                <w:rFonts w:ascii="Arial" w:eastAsia="Arial" w:hAnsi="Arial" w:cs="Arial"/>
                <w:color w:val="000000"/>
              </w:rPr>
              <w:t>-</w:t>
            </w:r>
            <w:r w:rsidR="003D6DA4">
              <w:rPr>
                <w:rFonts w:ascii="Arial" w:eastAsia="Arial" w:hAnsi="Arial" w:cs="Arial"/>
                <w:color w:val="000000"/>
              </w:rPr>
              <w:t>04</w:t>
            </w:r>
          </w:p>
        </w:tc>
      </w:tr>
      <w:tr w:rsidR="00705DD0">
        <w:tc>
          <w:tcPr>
            <w:tcW w:w="1843" w:type="dxa"/>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1560" w:type="dxa"/>
            <w:gridSpan w:val="4"/>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2694" w:type="dxa"/>
            <w:gridSpan w:val="3"/>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1417" w:type="dxa"/>
            <w:gridSpan w:val="2"/>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843" w:type="dxa"/>
            <w:tcBorders>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Category:</w:t>
            </w:r>
          </w:p>
        </w:tc>
        <w:tc>
          <w:tcPr>
            <w:tcW w:w="425" w:type="dxa"/>
            <w:shd w:val="clear" w:color="auto" w:fill="FFFFB3"/>
          </w:tcPr>
          <w:p w:rsidR="00705DD0" w:rsidRDefault="00F42B04">
            <w:pPr>
              <w:pBdr>
                <w:top w:val="nil"/>
                <w:left w:val="nil"/>
                <w:bottom w:val="nil"/>
                <w:right w:val="nil"/>
                <w:between w:val="nil"/>
              </w:pBdr>
              <w:spacing w:after="0"/>
              <w:ind w:left="100"/>
              <w:rPr>
                <w:rFonts w:ascii="Arial" w:eastAsia="Arial" w:hAnsi="Arial" w:cs="Arial"/>
                <w:color w:val="000000"/>
              </w:rPr>
            </w:pPr>
            <w:r>
              <w:rPr>
                <w:rFonts w:ascii="Arial" w:eastAsia="Arial" w:hAnsi="Arial" w:cs="Arial"/>
                <w:b/>
                <w:color w:val="000000"/>
              </w:rPr>
              <w:t>A</w:t>
            </w:r>
          </w:p>
        </w:tc>
        <w:tc>
          <w:tcPr>
            <w:tcW w:w="3829" w:type="dxa"/>
            <w:gridSpan w:val="6"/>
            <w:tcBorders>
              <w:left w:val="nil"/>
            </w:tcBorders>
            <w:shd w:val="clear" w:color="auto" w:fill="auto"/>
          </w:tcPr>
          <w:p w:rsidR="00705DD0" w:rsidRDefault="00705DD0">
            <w:pPr>
              <w:pBdr>
                <w:top w:val="nil"/>
                <w:left w:val="nil"/>
                <w:bottom w:val="nil"/>
                <w:right w:val="nil"/>
                <w:between w:val="nil"/>
              </w:pBdr>
              <w:spacing w:after="0"/>
              <w:rPr>
                <w:rFonts w:ascii="Arial" w:eastAsia="Arial" w:hAnsi="Arial" w:cs="Arial"/>
                <w:color w:val="000000"/>
              </w:rPr>
            </w:pPr>
          </w:p>
        </w:tc>
        <w:tc>
          <w:tcPr>
            <w:tcW w:w="1417" w:type="dxa"/>
            <w:gridSpan w:val="2"/>
            <w:tcBorders>
              <w:left w:val="nil"/>
            </w:tcBorders>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Rel-15</w:t>
            </w:r>
          </w:p>
        </w:tc>
      </w:tr>
      <w:tr w:rsidR="00705DD0">
        <w:tc>
          <w:tcPr>
            <w:tcW w:w="1843" w:type="dxa"/>
            <w:tcBorders>
              <w:left w:val="single" w:sz="4" w:space="0" w:color="000000"/>
              <w:bottom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p>
        </w:tc>
        <w:tc>
          <w:tcPr>
            <w:tcW w:w="4678" w:type="dxa"/>
            <w:gridSpan w:val="8"/>
            <w:tcBorders>
              <w:bottom w:val="single" w:sz="4" w:space="0" w:color="000000"/>
            </w:tcBorders>
          </w:tcPr>
          <w:p w:rsidR="00705DD0" w:rsidRDefault="00FE3213">
            <w:pPr>
              <w:pBdr>
                <w:top w:val="nil"/>
                <w:left w:val="nil"/>
                <w:bottom w:val="nil"/>
                <w:right w:val="nil"/>
                <w:between w:val="nil"/>
              </w:pBdr>
              <w:spacing w:after="0"/>
              <w:ind w:left="383" w:hanging="383"/>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rsidR="00705DD0" w:rsidRDefault="00FE3213">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8">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rsidR="00705DD0" w:rsidRDefault="00FE3213">
            <w:pPr>
              <w:pBdr>
                <w:top w:val="nil"/>
                <w:left w:val="nil"/>
                <w:bottom w:val="nil"/>
                <w:right w:val="nil"/>
                <w:between w:val="nil"/>
              </w:pBdr>
              <w:tabs>
                <w:tab w:val="left" w:pos="950"/>
              </w:tabs>
              <w:spacing w:after="0"/>
              <w:ind w:left="241" w:hanging="241"/>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Rel-12</w:t>
            </w:r>
            <w:r>
              <w:rPr>
                <w:rFonts w:ascii="Arial" w:eastAsia="Arial" w:hAnsi="Arial" w:cs="Arial"/>
                <w:i/>
                <w:color w:val="000000"/>
                <w:sz w:val="18"/>
                <w:szCs w:val="18"/>
              </w:rPr>
              <w:tab/>
              <w:t>(Release 12)</w:t>
            </w:r>
            <w:bookmarkStart w:id="2" w:name="30j0zll" w:colFirst="0" w:colLast="0"/>
            <w:bookmarkEnd w:id="2"/>
            <w:r>
              <w:rPr>
                <w:rFonts w:ascii="Arial" w:eastAsia="Arial" w:hAnsi="Arial" w:cs="Arial"/>
                <w:i/>
                <w:color w:val="000000"/>
                <w:sz w:val="18"/>
                <w:szCs w:val="18"/>
              </w:rPr>
              <w:br/>
              <w:t>Rel-13</w:t>
            </w:r>
            <w:r>
              <w:rPr>
                <w:rFonts w:ascii="Arial" w:eastAsia="Arial" w:hAnsi="Arial" w:cs="Arial"/>
                <w:i/>
                <w:color w:val="000000"/>
                <w:sz w:val="18"/>
                <w:szCs w:val="18"/>
              </w:rPr>
              <w:tab/>
              <w:t>(Release 13)</w:t>
            </w:r>
            <w:r>
              <w:rPr>
                <w:rFonts w:ascii="Arial" w:eastAsia="Arial" w:hAnsi="Arial" w:cs="Arial"/>
                <w:i/>
                <w:color w:val="000000"/>
                <w:sz w:val="18"/>
                <w:szCs w:val="18"/>
              </w:rPr>
              <w:br/>
              <w:t>Rel-14</w:t>
            </w:r>
            <w:r>
              <w:rPr>
                <w:rFonts w:ascii="Arial" w:eastAsia="Arial" w:hAnsi="Arial" w:cs="Arial"/>
                <w:i/>
                <w:color w:val="000000"/>
                <w:sz w:val="18"/>
                <w:szCs w:val="18"/>
              </w:rPr>
              <w:tab/>
              <w:t>(Release 14)</w:t>
            </w:r>
            <w:r>
              <w:rPr>
                <w:rFonts w:ascii="Arial" w:eastAsia="Arial" w:hAnsi="Arial" w:cs="Arial"/>
                <w:i/>
                <w:color w:val="000000"/>
                <w:sz w:val="18"/>
                <w:szCs w:val="18"/>
              </w:rPr>
              <w:br/>
              <w:t>Rel-15</w:t>
            </w:r>
            <w:r>
              <w:rPr>
                <w:rFonts w:ascii="Arial" w:eastAsia="Arial" w:hAnsi="Arial" w:cs="Arial"/>
                <w:i/>
                <w:color w:val="000000"/>
                <w:sz w:val="18"/>
                <w:szCs w:val="18"/>
              </w:rPr>
              <w:tab/>
              <w:t>(Release 15)</w:t>
            </w:r>
            <w:r>
              <w:rPr>
                <w:rFonts w:ascii="Arial" w:eastAsia="Arial" w:hAnsi="Arial" w:cs="Arial"/>
                <w:i/>
                <w:color w:val="000000"/>
                <w:sz w:val="18"/>
                <w:szCs w:val="18"/>
              </w:rPr>
              <w:br/>
              <w:t>Rel-16</w:t>
            </w:r>
            <w:r>
              <w:rPr>
                <w:rFonts w:ascii="Arial" w:eastAsia="Arial" w:hAnsi="Arial" w:cs="Arial"/>
                <w:i/>
                <w:color w:val="000000"/>
                <w:sz w:val="18"/>
                <w:szCs w:val="18"/>
              </w:rPr>
              <w:tab/>
              <w:t>(Release 16)</w:t>
            </w:r>
          </w:p>
        </w:tc>
      </w:tr>
      <w:tr w:rsidR="00705DD0">
        <w:tc>
          <w:tcPr>
            <w:tcW w:w="1843" w:type="dxa"/>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798" w:type="dxa"/>
            <w:gridSpan w:val="10"/>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top w:val="single" w:sz="4" w:space="0" w:color="000000"/>
              <w:left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Reason for change:</w:t>
            </w:r>
          </w:p>
        </w:tc>
        <w:tc>
          <w:tcPr>
            <w:tcW w:w="7373" w:type="dxa"/>
            <w:gridSpan w:val="9"/>
            <w:tcBorders>
              <w:top w:val="single" w:sz="4" w:space="0" w:color="000000"/>
              <w:right w:val="single" w:sz="4" w:space="0" w:color="000000"/>
            </w:tcBorders>
            <w:shd w:val="clear" w:color="auto" w:fill="FFFFB3"/>
          </w:tcPr>
          <w:p w:rsidR="00705DD0" w:rsidRDefault="00FE3213" w:rsidP="00933AE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If a UE is assigned an uplink grant but the HARQ entity cannot obtain a MAC PDU to send, the UE skips the uplink transmission. Afterward, if the UE </w:t>
            </w:r>
            <w:r w:rsidR="009B50D4">
              <w:rPr>
                <w:rFonts w:ascii="Arial" w:eastAsia="Arial" w:hAnsi="Arial" w:cs="Arial"/>
                <w:color w:val="000000"/>
              </w:rPr>
              <w:t>performs non-adaptive retransmission</w:t>
            </w:r>
            <w:r w:rsidR="00DA3726">
              <w:rPr>
                <w:rFonts w:ascii="Arial" w:eastAsia="Arial" w:hAnsi="Arial" w:cs="Arial"/>
                <w:color w:val="000000"/>
              </w:rPr>
              <w:t xml:space="preserve"> in a bundle</w:t>
            </w:r>
            <w:r w:rsidR="0030060B">
              <w:rPr>
                <w:rFonts w:ascii="Arial" w:eastAsia="Arial" w:hAnsi="Arial" w:cs="Arial"/>
                <w:color w:val="000000"/>
              </w:rPr>
              <w:t xml:space="preserve"> or </w:t>
            </w:r>
            <w:r>
              <w:rPr>
                <w:rFonts w:ascii="Arial" w:eastAsia="Arial" w:hAnsi="Arial" w:cs="Arial"/>
                <w:color w:val="000000"/>
              </w:rPr>
              <w:t>receives a second grant requesting a retransmission</w:t>
            </w:r>
            <w:r w:rsidR="00E63BD8">
              <w:rPr>
                <w:rFonts w:ascii="Arial" w:eastAsia="Arial" w:hAnsi="Arial" w:cs="Arial"/>
                <w:color w:val="000000"/>
              </w:rPr>
              <w:t xml:space="preserve"> in unlicensed band</w:t>
            </w:r>
            <w:r w:rsidR="00933AE6">
              <w:rPr>
                <w:rFonts w:ascii="Arial" w:eastAsia="Arial" w:hAnsi="Arial" w:cs="Arial"/>
                <w:color w:val="000000"/>
              </w:rPr>
              <w:t>s</w:t>
            </w:r>
            <w:r>
              <w:rPr>
                <w:rFonts w:ascii="Arial" w:eastAsia="Arial" w:hAnsi="Arial" w:cs="Arial"/>
                <w:color w:val="000000"/>
              </w:rPr>
              <w:t>, if the corresponding HARQ buffer is not empty, the UE will transmit the data in HARQ buffer. However, the UE should not transmit the data in HARQ buffer.</w:t>
            </w:r>
          </w:p>
        </w:tc>
      </w:tr>
      <w:tr w:rsidR="00705DD0">
        <w:tc>
          <w:tcPr>
            <w:tcW w:w="2268" w:type="dxa"/>
            <w:gridSpan w:val="2"/>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left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Summary of change:</w:t>
            </w:r>
          </w:p>
        </w:tc>
        <w:tc>
          <w:tcPr>
            <w:tcW w:w="7373" w:type="dxa"/>
            <w:gridSpan w:val="9"/>
            <w:tcBorders>
              <w:right w:val="single" w:sz="4" w:space="0" w:color="000000"/>
            </w:tcBorders>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sz w:val="22"/>
                <w:szCs w:val="22"/>
              </w:rPr>
            </w:pPr>
            <w:r>
              <w:rPr>
                <w:rFonts w:ascii="Arial" w:eastAsia="Arial" w:hAnsi="Arial" w:cs="Arial"/>
                <w:color w:val="000000"/>
              </w:rPr>
              <w:t xml:space="preserve">If a UE skips an uplink transmission, the UE flushes HARQ buffer for the corresponding HARQ process. </w:t>
            </w:r>
          </w:p>
        </w:tc>
      </w:tr>
      <w:tr w:rsidR="00705DD0">
        <w:tc>
          <w:tcPr>
            <w:tcW w:w="2268" w:type="dxa"/>
            <w:gridSpan w:val="2"/>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left w:val="single" w:sz="4" w:space="0" w:color="000000"/>
              <w:bottom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Consequences if not approved:</w:t>
            </w:r>
          </w:p>
        </w:tc>
        <w:tc>
          <w:tcPr>
            <w:tcW w:w="7373" w:type="dxa"/>
            <w:gridSpan w:val="9"/>
            <w:tcBorders>
              <w:bottom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The UE might mistakenly use a grant to retransmit a previous stored TB after UL skipping.</w:t>
            </w:r>
          </w:p>
          <w:p w:rsidR="00705DD0" w:rsidRDefault="00705DD0">
            <w:pPr>
              <w:pBdr>
                <w:top w:val="nil"/>
                <w:left w:val="nil"/>
                <w:bottom w:val="nil"/>
                <w:right w:val="nil"/>
                <w:between w:val="nil"/>
              </w:pBdr>
              <w:spacing w:after="0"/>
              <w:ind w:left="100"/>
              <w:rPr>
                <w:rFonts w:ascii="Arial" w:eastAsia="Arial" w:hAnsi="Arial" w:cs="Arial"/>
                <w:color w:val="000000"/>
              </w:rPr>
            </w:pPr>
          </w:p>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b/>
                <w:color w:val="000000"/>
              </w:rPr>
              <w:t>Impact analysis:</w:t>
            </w:r>
          </w:p>
          <w:p w:rsidR="00705DD0" w:rsidRDefault="00FE3213">
            <w:pPr>
              <w:pBdr>
                <w:top w:val="nil"/>
                <w:left w:val="nil"/>
                <w:bottom w:val="nil"/>
                <w:right w:val="nil"/>
                <w:between w:val="nil"/>
              </w:pBdr>
              <w:spacing w:after="0"/>
              <w:ind w:left="100"/>
              <w:rPr>
                <w:rFonts w:ascii="Arial" w:eastAsia="Arial" w:hAnsi="Arial" w:cs="Arial"/>
                <w:color w:val="000000"/>
                <w:u w:val="single"/>
              </w:rPr>
            </w:pPr>
            <w:r>
              <w:rPr>
                <w:rFonts w:ascii="Arial" w:eastAsia="Arial" w:hAnsi="Arial" w:cs="Arial"/>
                <w:color w:val="000000"/>
                <w:u w:val="single"/>
              </w:rPr>
              <w:t>Impacted functionality:</w:t>
            </w:r>
          </w:p>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HARQ entity</w:t>
            </w:r>
          </w:p>
          <w:p w:rsidR="00705DD0" w:rsidRDefault="00705DD0">
            <w:pPr>
              <w:pBdr>
                <w:top w:val="nil"/>
                <w:left w:val="nil"/>
                <w:bottom w:val="nil"/>
                <w:right w:val="nil"/>
                <w:between w:val="nil"/>
              </w:pBdr>
              <w:spacing w:after="0"/>
              <w:ind w:left="100"/>
              <w:rPr>
                <w:rFonts w:ascii="Arial" w:eastAsia="Arial" w:hAnsi="Arial" w:cs="Arial"/>
                <w:color w:val="000000"/>
              </w:rPr>
            </w:pPr>
          </w:p>
          <w:p w:rsidR="00705DD0" w:rsidRDefault="00FE3213">
            <w:pPr>
              <w:pBdr>
                <w:top w:val="nil"/>
                <w:left w:val="nil"/>
                <w:bottom w:val="nil"/>
                <w:right w:val="nil"/>
                <w:between w:val="nil"/>
              </w:pBdr>
              <w:spacing w:after="0"/>
              <w:ind w:left="100"/>
              <w:rPr>
                <w:rFonts w:ascii="Arial" w:eastAsia="Arial" w:hAnsi="Arial" w:cs="Arial"/>
                <w:color w:val="000000"/>
                <w:u w:val="single"/>
              </w:rPr>
            </w:pPr>
            <w:r>
              <w:rPr>
                <w:rFonts w:ascii="Arial" w:eastAsia="Arial" w:hAnsi="Arial" w:cs="Arial"/>
                <w:color w:val="000000"/>
                <w:u w:val="single"/>
              </w:rPr>
              <w:t>Interoperability:</w:t>
            </w:r>
          </w:p>
          <w:p w:rsidR="00705DD0" w:rsidRDefault="00FE3213" w:rsidP="00560E11">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If the network is implemented according to this CR while the UE is not, the UE might mistakenly use a grant to retransmit a previous stored TB after UL skipping. If the UE is implemented according to this CR while the network is not, there is no inter-operability issue.</w:t>
            </w:r>
          </w:p>
        </w:tc>
      </w:tr>
      <w:tr w:rsidR="00705DD0">
        <w:tc>
          <w:tcPr>
            <w:tcW w:w="2268" w:type="dxa"/>
            <w:gridSpan w:val="2"/>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373" w:type="dxa"/>
            <w:gridSpan w:val="9"/>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top w:val="single" w:sz="4" w:space="0" w:color="000000"/>
              <w:left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Clauses affected:</w:t>
            </w:r>
          </w:p>
        </w:tc>
        <w:tc>
          <w:tcPr>
            <w:tcW w:w="7373" w:type="dxa"/>
            <w:gridSpan w:val="9"/>
            <w:tcBorders>
              <w:top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5.4.2.1</w:t>
            </w:r>
          </w:p>
        </w:tc>
      </w:tr>
      <w:tr w:rsidR="00705DD0">
        <w:tc>
          <w:tcPr>
            <w:tcW w:w="2268" w:type="dxa"/>
            <w:gridSpan w:val="2"/>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left w:val="single" w:sz="4" w:space="0" w:color="000000"/>
            </w:tcBorders>
            <w:shd w:val="clear" w:color="auto" w:fill="auto"/>
          </w:tcPr>
          <w:p w:rsidR="00705DD0" w:rsidRDefault="00705DD0">
            <w:pPr>
              <w:pBdr>
                <w:top w:val="nil"/>
                <w:left w:val="nil"/>
                <w:bottom w:val="nil"/>
                <w:right w:val="nil"/>
                <w:between w:val="nil"/>
              </w:pBdr>
              <w:tabs>
                <w:tab w:val="right" w:pos="2184"/>
              </w:tabs>
              <w:spacing w:after="0"/>
              <w:rPr>
                <w:rFonts w:ascii="Arial" w:eastAsia="Arial" w:hAnsi="Arial" w:cs="Arial"/>
                <w:color w:val="000000"/>
              </w:rPr>
            </w:pPr>
          </w:p>
        </w:tc>
        <w:tc>
          <w:tcPr>
            <w:tcW w:w="284" w:type="dxa"/>
            <w:tcBorders>
              <w:top w:val="single" w:sz="4" w:space="0" w:color="000000"/>
              <w:left w:val="single" w:sz="4" w:space="0" w:color="000000"/>
              <w:bottom w:val="single" w:sz="4" w:space="0" w:color="000000"/>
            </w:tcBorders>
            <w:shd w:val="clear" w:color="auto" w:fill="auto"/>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N</w:t>
            </w:r>
          </w:p>
        </w:tc>
        <w:tc>
          <w:tcPr>
            <w:tcW w:w="2977" w:type="dxa"/>
            <w:gridSpan w:val="3"/>
            <w:shd w:val="clear" w:color="auto" w:fill="auto"/>
          </w:tcPr>
          <w:p w:rsidR="00705DD0" w:rsidRDefault="00705DD0">
            <w:pPr>
              <w:pBdr>
                <w:top w:val="nil"/>
                <w:left w:val="nil"/>
                <w:bottom w:val="nil"/>
                <w:right w:val="nil"/>
                <w:between w:val="nil"/>
              </w:pBdr>
              <w:tabs>
                <w:tab w:val="right" w:pos="2893"/>
              </w:tabs>
              <w:spacing w:after="0"/>
              <w:rPr>
                <w:rFonts w:ascii="Arial" w:eastAsia="Arial" w:hAnsi="Arial" w:cs="Arial"/>
                <w:color w:val="000000"/>
              </w:rPr>
            </w:pPr>
          </w:p>
        </w:tc>
        <w:tc>
          <w:tcPr>
            <w:tcW w:w="3828" w:type="dxa"/>
            <w:gridSpan w:val="4"/>
            <w:tcBorders>
              <w:right w:val="single" w:sz="4" w:space="0" w:color="000000"/>
            </w:tcBorders>
            <w:shd w:val="clear" w:color="auto" w:fill="auto"/>
          </w:tcPr>
          <w:p w:rsidR="00705DD0" w:rsidRDefault="00705DD0">
            <w:pPr>
              <w:pBdr>
                <w:top w:val="nil"/>
                <w:left w:val="nil"/>
                <w:bottom w:val="nil"/>
                <w:right w:val="nil"/>
                <w:between w:val="nil"/>
              </w:pBdr>
              <w:spacing w:after="0"/>
              <w:ind w:left="99"/>
              <w:rPr>
                <w:rFonts w:ascii="Arial" w:eastAsia="Arial" w:hAnsi="Arial" w:cs="Arial"/>
                <w:color w:val="000000"/>
              </w:rPr>
            </w:pPr>
          </w:p>
        </w:tc>
      </w:tr>
      <w:tr w:rsidR="00705DD0">
        <w:tc>
          <w:tcPr>
            <w:tcW w:w="2268" w:type="dxa"/>
            <w:gridSpan w:val="2"/>
            <w:tcBorders>
              <w:left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705DD0" w:rsidRDefault="00FE3213">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828" w:type="dxa"/>
            <w:gridSpan w:val="4"/>
            <w:tcBorders>
              <w:right w:val="single" w:sz="4" w:space="0" w:color="000000"/>
            </w:tcBorders>
            <w:shd w:val="clear" w:color="auto" w:fill="FFFFB3"/>
          </w:tcPr>
          <w:p w:rsidR="00705DD0" w:rsidRDefault="00FE3213">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TS/TR ... CR ...</w:t>
            </w:r>
          </w:p>
        </w:tc>
      </w:tr>
      <w:tr w:rsidR="00705DD0">
        <w:tc>
          <w:tcPr>
            <w:tcW w:w="2268" w:type="dxa"/>
            <w:gridSpan w:val="2"/>
            <w:tcBorders>
              <w:left w:val="single" w:sz="4" w:space="0" w:color="000000"/>
            </w:tcBorders>
            <w:shd w:val="clear" w:color="auto" w:fill="auto"/>
          </w:tcPr>
          <w:p w:rsidR="00705DD0" w:rsidRDefault="00FE3213">
            <w:pPr>
              <w:pBdr>
                <w:top w:val="nil"/>
                <w:left w:val="nil"/>
                <w:bottom w:val="nil"/>
                <w:right w:val="nil"/>
                <w:between w:val="nil"/>
              </w:pBdr>
              <w:spacing w:after="0"/>
              <w:rPr>
                <w:rFonts w:ascii="Arial" w:eastAsia="Arial" w:hAnsi="Arial" w:cs="Arial"/>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705DD0" w:rsidRDefault="00FE3213">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828" w:type="dxa"/>
            <w:gridSpan w:val="4"/>
            <w:tcBorders>
              <w:right w:val="single" w:sz="4" w:space="0" w:color="000000"/>
            </w:tcBorders>
            <w:shd w:val="clear" w:color="auto" w:fill="FFFFB3"/>
          </w:tcPr>
          <w:p w:rsidR="00705DD0" w:rsidRDefault="00FE3213">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705DD0">
        <w:tc>
          <w:tcPr>
            <w:tcW w:w="2268" w:type="dxa"/>
            <w:gridSpan w:val="2"/>
            <w:tcBorders>
              <w:left w:val="single" w:sz="4" w:space="0" w:color="000000"/>
            </w:tcBorders>
            <w:shd w:val="clear" w:color="auto" w:fill="auto"/>
          </w:tcPr>
          <w:p w:rsidR="00705DD0" w:rsidRDefault="00FE3213">
            <w:pPr>
              <w:pBdr>
                <w:top w:val="nil"/>
                <w:left w:val="nil"/>
                <w:bottom w:val="nil"/>
                <w:right w:val="nil"/>
                <w:between w:val="nil"/>
              </w:pBdr>
              <w:spacing w:after="0"/>
              <w:rPr>
                <w:rFonts w:ascii="Arial" w:eastAsia="Arial" w:hAnsi="Arial" w:cs="Arial"/>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705DD0" w:rsidRDefault="00FE3213">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828" w:type="dxa"/>
            <w:gridSpan w:val="4"/>
            <w:tcBorders>
              <w:right w:val="single" w:sz="4" w:space="0" w:color="000000"/>
            </w:tcBorders>
            <w:shd w:val="clear" w:color="auto" w:fill="FFFFB3"/>
          </w:tcPr>
          <w:p w:rsidR="00705DD0" w:rsidRDefault="00FE3213">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705DD0">
        <w:tc>
          <w:tcPr>
            <w:tcW w:w="2268" w:type="dxa"/>
            <w:gridSpan w:val="2"/>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p>
        </w:tc>
        <w:tc>
          <w:tcPr>
            <w:tcW w:w="7373" w:type="dxa"/>
            <w:gridSpan w:val="9"/>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p>
        </w:tc>
      </w:tr>
      <w:tr w:rsidR="00705DD0">
        <w:tc>
          <w:tcPr>
            <w:tcW w:w="2268" w:type="dxa"/>
            <w:gridSpan w:val="2"/>
            <w:tcBorders>
              <w:left w:val="single" w:sz="4" w:space="0" w:color="000000"/>
              <w:bottom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Other comments:</w:t>
            </w:r>
          </w:p>
        </w:tc>
        <w:tc>
          <w:tcPr>
            <w:tcW w:w="7373" w:type="dxa"/>
            <w:gridSpan w:val="9"/>
            <w:tcBorders>
              <w:bottom w:val="single" w:sz="4" w:space="0" w:color="000000"/>
              <w:right w:val="single" w:sz="4" w:space="0" w:color="000000"/>
            </w:tcBorders>
            <w:shd w:val="clear" w:color="auto" w:fill="FFFFB3"/>
          </w:tcPr>
          <w:p w:rsidR="00705DD0" w:rsidRDefault="00705DD0">
            <w:pPr>
              <w:pBdr>
                <w:top w:val="nil"/>
                <w:left w:val="nil"/>
                <w:bottom w:val="nil"/>
                <w:right w:val="nil"/>
                <w:between w:val="nil"/>
              </w:pBdr>
              <w:spacing w:after="0"/>
              <w:ind w:left="100"/>
              <w:rPr>
                <w:rFonts w:ascii="Arial" w:eastAsia="Arial" w:hAnsi="Arial" w:cs="Arial"/>
                <w:color w:val="000000"/>
              </w:rPr>
            </w:pPr>
          </w:p>
        </w:tc>
      </w:tr>
    </w:tbl>
    <w:p w:rsidR="00705DD0" w:rsidRDefault="00705DD0">
      <w:pPr>
        <w:pBdr>
          <w:top w:val="nil"/>
          <w:left w:val="nil"/>
          <w:bottom w:val="nil"/>
          <w:right w:val="nil"/>
          <w:between w:val="nil"/>
        </w:pBdr>
        <w:spacing w:after="0"/>
        <w:rPr>
          <w:rFonts w:ascii="Arial" w:eastAsia="Arial" w:hAnsi="Arial" w:cs="Arial"/>
          <w:color w:val="000000"/>
          <w:sz w:val="8"/>
          <w:szCs w:val="8"/>
        </w:rPr>
      </w:pPr>
    </w:p>
    <w:p w:rsidR="00705DD0" w:rsidRDefault="00705DD0">
      <w:pPr>
        <w:widowControl w:val="0"/>
        <w:pBdr>
          <w:top w:val="nil"/>
          <w:left w:val="nil"/>
          <w:bottom w:val="nil"/>
          <w:right w:val="nil"/>
          <w:between w:val="nil"/>
        </w:pBdr>
        <w:spacing w:after="0" w:line="276" w:lineRule="auto"/>
        <w:sectPr w:rsidR="00705DD0">
          <w:headerReference w:type="even" r:id="rId9"/>
          <w:pgSz w:w="11907" w:h="16840"/>
          <w:pgMar w:top="1418" w:right="1134" w:bottom="1134" w:left="1134" w:header="680" w:footer="567" w:gutter="0"/>
          <w:pgNumType w:start="1"/>
          <w:cols w:space="720"/>
        </w:sectPr>
      </w:pPr>
      <w:bookmarkStart w:id="3" w:name="_1fob9te" w:colFirst="0" w:colLast="0"/>
      <w:bookmarkEnd w:id="3"/>
    </w:p>
    <w:p w:rsidR="00705DD0" w:rsidRDefault="00FE3213">
      <w:pPr>
        <w:pStyle w:val="Heading4"/>
      </w:pPr>
      <w:r>
        <w:lastRenderedPageBreak/>
        <w:t>5.4.2.1</w:t>
      </w:r>
      <w:r>
        <w:tab/>
        <w:t>HARQ entity</w:t>
      </w:r>
    </w:p>
    <w:p w:rsidR="00705DD0" w:rsidRDefault="00FE3213">
      <w: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705DD0" w:rsidRDefault="00FE3213">
      <w:r>
        <w:t>The number of parallel HARQ processes per HARQ entity is specified in [2], clause 8. NB-IoT has one or two UL HARQ processes.</w:t>
      </w:r>
    </w:p>
    <w:p w:rsidR="00705DD0" w:rsidRDefault="00FE3213">
      <w:r>
        <w:t>When the physical layer is configured for uplink spatial multiplexing [2], there are two HARQ processes associated with a given TTI. Otherwise there is one HARQ process associated with a given TTI.</w:t>
      </w:r>
    </w:p>
    <w:p w:rsidR="00705DD0" w:rsidRDefault="00FE3213">
      <w: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rsidR="00705DD0" w:rsidRDefault="00FE3213">
      <w:r>
        <w:t>In asynchronous HARQ operation, a HARQ process is associated with a TTI based on the received UL grant except for UL grant in RAR. Except for NB-IoT UE configured with a single HARQ process, each asynchronous HARQ process is associated with a HARQ process identifier. For UL transmission with UL grant in RAR, HARQ process identifier 0 is used. HARQ feedback is not applicable for asynchronous UL HARQ.</w:t>
      </w:r>
    </w:p>
    <w:p w:rsidR="00705DD0" w:rsidRDefault="00FE3213">
      <w: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705DD0" w:rsidRDefault="00FE3213">
      <w:r>
        <w:t xml:space="preserve">Uplink HARQ operation is asynchronous for NB-IoT UEs, </w:t>
      </w:r>
      <w:bookmarkStart w:id="4" w:name="3znysh7" w:colFirst="0" w:colLast="0"/>
      <w:bookmarkEnd w:id="4"/>
      <w:r>
        <w:t xml:space="preserve">BL UEs or UEs in enhanced coverage except for the repetitions within a bundle, and in serving cells configured with </w:t>
      </w:r>
      <w:r>
        <w:rPr>
          <w:i/>
        </w:rPr>
        <w:t>pusch-EnhancementsConfig</w:t>
      </w:r>
      <w:r>
        <w:t>, and serving cells operating according to Frame Structure Type 3.</w:t>
      </w:r>
    </w:p>
    <w:p w:rsidR="00705DD0" w:rsidRDefault="00FE3213">
      <w:r>
        <w:t xml:space="preserve">For serving cells configured with </w:t>
      </w:r>
      <w:r>
        <w:rPr>
          <w:i/>
        </w:rPr>
        <w:t>pusch-EnhancementsConfig</w:t>
      </w:r>
      <w:r>
        <w:t>, NB-IoT UEs, BL UEs or UEs in enhanced coverage, the parameter UL_REPETITION_NUMBER provides the number of transmission repetitions within a bundle. For each bundle, UL_REPETITION_NUMBER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UL_REPETITION_NUMBER. An uplink grant corresponding to a new transmission or a retransmission of the bundle is only received after the last repetition of the bundle. A retransmission of a bundle is also a bundle.</w:t>
      </w:r>
    </w:p>
    <w:p w:rsidR="00705DD0" w:rsidRDefault="00FE3213">
      <w:r>
        <w:t>TTI bundling is not supported for RN communication with the E-UTRAN in combination with an RN subframe configuration.</w:t>
      </w:r>
    </w:p>
    <w:p w:rsidR="00705DD0" w:rsidRDefault="00FE3213">
      <w:r>
        <w:t>For transmission of Msg3 during Random Access (see subclause 5.1.5) TTI bundling does not apply. For NB-IoT UEs, BL UEs or UEs in enhanced coverage, uplink repetition bundling is used for transmission of Msg3.</w:t>
      </w:r>
    </w:p>
    <w:p w:rsidR="00705DD0" w:rsidRDefault="00FE3213">
      <w:r>
        <w:t>For each TTI, the HARQ entity shall:</w:t>
      </w:r>
    </w:p>
    <w:p w:rsidR="00705DD0" w:rsidRDefault="00FE3213">
      <w:pPr>
        <w:pBdr>
          <w:top w:val="nil"/>
          <w:left w:val="nil"/>
          <w:bottom w:val="nil"/>
          <w:right w:val="nil"/>
          <w:between w:val="nil"/>
        </w:pBdr>
        <w:ind w:left="568" w:hanging="284"/>
        <w:rPr>
          <w:color w:val="000000"/>
        </w:rPr>
      </w:pPr>
      <w:r>
        <w:rPr>
          <w:color w:val="000000"/>
        </w:rPr>
        <w:t>-</w:t>
      </w:r>
      <w:r>
        <w:rPr>
          <w:color w:val="000000"/>
        </w:rPr>
        <w:tab/>
        <w:t>identify the HARQ process(es) associated with this TTI, and for each identified HARQ process:</w:t>
      </w:r>
    </w:p>
    <w:p w:rsidR="00705DD0" w:rsidRDefault="00FE3213">
      <w:pPr>
        <w:pBdr>
          <w:top w:val="nil"/>
          <w:left w:val="nil"/>
          <w:bottom w:val="nil"/>
          <w:right w:val="nil"/>
          <w:between w:val="nil"/>
        </w:pBdr>
        <w:ind w:left="851" w:hanging="284"/>
        <w:rPr>
          <w:color w:val="000000"/>
        </w:rPr>
      </w:pPr>
      <w:r>
        <w:rPr>
          <w:color w:val="000000"/>
        </w:rPr>
        <w:t>-</w:t>
      </w:r>
      <w:r>
        <w:rPr>
          <w:color w:val="000000"/>
        </w:rPr>
        <w:tab/>
        <w:t>if an uplink grant has been indicated for this process and this TTI:</w:t>
      </w:r>
    </w:p>
    <w:p w:rsidR="00705DD0" w:rsidRDefault="00FE3213">
      <w:pPr>
        <w:pBdr>
          <w:top w:val="nil"/>
          <w:left w:val="nil"/>
          <w:bottom w:val="nil"/>
          <w:right w:val="nil"/>
          <w:between w:val="nil"/>
        </w:pBdr>
        <w:ind w:left="1135" w:hanging="284"/>
        <w:rPr>
          <w:color w:val="000000"/>
        </w:rPr>
      </w:pPr>
      <w:r>
        <w:rPr>
          <w:color w:val="000000"/>
        </w:rPr>
        <w:t>-</w:t>
      </w:r>
      <w:r>
        <w:rPr>
          <w:color w:val="000000"/>
        </w:rPr>
        <w:tab/>
        <w:t>if the received grant was not addressed to a Temporary C-RNTI on PDCCH and if the NDI provided in the associated HARQ information has been toggled compared to the value in the previous transmission of this HARQ process; or</w:t>
      </w:r>
    </w:p>
    <w:p w:rsidR="00705DD0" w:rsidRDefault="00FE3213">
      <w:pPr>
        <w:pBdr>
          <w:top w:val="nil"/>
          <w:left w:val="nil"/>
          <w:bottom w:val="nil"/>
          <w:right w:val="nil"/>
          <w:between w:val="nil"/>
        </w:pBdr>
        <w:ind w:left="1135" w:hanging="284"/>
        <w:rPr>
          <w:color w:val="000000"/>
        </w:rPr>
      </w:pPr>
      <w:r>
        <w:rPr>
          <w:color w:val="000000"/>
        </w:rPr>
        <w:t>-</w:t>
      </w:r>
      <w:r>
        <w:rPr>
          <w:color w:val="000000"/>
        </w:rPr>
        <w:tab/>
        <w:t>if the uplink grant was received on PDCCH for the C-RNTI and the HARQ buffer of the identified process is empty; or</w:t>
      </w:r>
    </w:p>
    <w:p w:rsidR="00705DD0" w:rsidRDefault="00FE3213">
      <w:pPr>
        <w:pBdr>
          <w:top w:val="nil"/>
          <w:left w:val="nil"/>
          <w:bottom w:val="nil"/>
          <w:right w:val="nil"/>
          <w:between w:val="nil"/>
        </w:pBdr>
        <w:ind w:left="1135" w:hanging="284"/>
        <w:rPr>
          <w:color w:val="000000"/>
        </w:rPr>
      </w:pPr>
      <w:r>
        <w:rPr>
          <w:color w:val="000000"/>
        </w:rPr>
        <w:t>-</w:t>
      </w:r>
      <w:r>
        <w:rPr>
          <w:color w:val="000000"/>
        </w:rPr>
        <w:tab/>
        <w:t>if the uplink grant was received in a Random Access Response:</w:t>
      </w:r>
    </w:p>
    <w:p w:rsidR="00705DD0" w:rsidRDefault="00FE3213">
      <w:pPr>
        <w:pBdr>
          <w:top w:val="nil"/>
          <w:left w:val="nil"/>
          <w:bottom w:val="nil"/>
          <w:right w:val="nil"/>
          <w:between w:val="nil"/>
        </w:pBdr>
        <w:ind w:left="1418" w:hanging="284"/>
        <w:rPr>
          <w:color w:val="000000"/>
        </w:rPr>
      </w:pPr>
      <w:r>
        <w:rPr>
          <w:color w:val="000000"/>
        </w:rPr>
        <w:lastRenderedPageBreak/>
        <w:t>-</w:t>
      </w:r>
      <w:r>
        <w:rPr>
          <w:color w:val="000000"/>
        </w:rPr>
        <w:tab/>
        <w:t>if there is a MAC PDU in the Msg3 buffer and the uplink grant was received in a Random Access Response:</w:t>
      </w:r>
    </w:p>
    <w:p w:rsidR="00705DD0" w:rsidRDefault="00FE3213">
      <w:pPr>
        <w:pBdr>
          <w:top w:val="nil"/>
          <w:left w:val="nil"/>
          <w:bottom w:val="nil"/>
          <w:right w:val="nil"/>
          <w:between w:val="nil"/>
        </w:pBdr>
        <w:ind w:left="1702" w:hanging="284"/>
        <w:rPr>
          <w:color w:val="000000"/>
        </w:rPr>
      </w:pPr>
      <w:r>
        <w:rPr>
          <w:color w:val="000000"/>
        </w:rPr>
        <w:t>-</w:t>
      </w:r>
      <w:r>
        <w:rPr>
          <w:color w:val="000000"/>
        </w:rPr>
        <w:tab/>
        <w:t>obtain the MAC PDU to transmit from the Msg3 buffer.</w:t>
      </w:r>
    </w:p>
    <w:p w:rsidR="00705DD0" w:rsidRDefault="00FE3213">
      <w:pPr>
        <w:pBdr>
          <w:top w:val="nil"/>
          <w:left w:val="nil"/>
          <w:bottom w:val="nil"/>
          <w:right w:val="nil"/>
          <w:between w:val="nil"/>
        </w:pBdr>
        <w:ind w:left="1418" w:hanging="284"/>
        <w:rPr>
          <w:color w:val="000000"/>
        </w:rPr>
      </w:pPr>
      <w:r>
        <w:rPr>
          <w:color w:val="000000"/>
        </w:rPr>
        <w:t>-</w:t>
      </w:r>
      <w:r>
        <w:rPr>
          <w:color w:val="000000"/>
        </w:rPr>
        <w:tab/>
        <w:t xml:space="preserve">else if the MAC entity is configured with </w:t>
      </w:r>
      <w:r>
        <w:rPr>
          <w:i/>
          <w:color w:val="000000"/>
        </w:rPr>
        <w:t>semiPersistSchedIntervalUL</w:t>
      </w:r>
      <w:r>
        <w:rPr>
          <w:color w:val="000000"/>
        </w:rPr>
        <w:t xml:space="preserve"> shorter than 10 subframes and if the uplink grant is a configured grant, and if the HARQ buffer of the identified HARQ process is not empty, and if HARQ_FEEDBACK of the identified HARQ process is NACK; or if the MAC entity is configured with </w:t>
      </w:r>
      <w:r>
        <w:rPr>
          <w:i/>
          <w:color w:val="000000"/>
        </w:rPr>
        <w:t>ul-SchedInterval</w:t>
      </w:r>
      <w:r>
        <w:rPr>
          <w:color w:val="000000"/>
        </w:rPr>
        <w:t xml:space="preserve"> shorter than 10 subframes and if the uplink grant is a preallocated uplink grant, and if the HARQ buffer of the identified HARQ process is not empty, and if HARQ_FEEDBACK of the identified HARQ process is NACK:</w:t>
      </w:r>
    </w:p>
    <w:p w:rsidR="00705DD0" w:rsidRDefault="00FE3213">
      <w:pPr>
        <w:pBdr>
          <w:top w:val="nil"/>
          <w:left w:val="nil"/>
          <w:bottom w:val="nil"/>
          <w:right w:val="nil"/>
          <w:between w:val="nil"/>
        </w:pBdr>
        <w:ind w:left="1702" w:hanging="284"/>
        <w:rPr>
          <w:color w:val="000000"/>
        </w:rPr>
      </w:pPr>
      <w:r>
        <w:rPr>
          <w:color w:val="000000"/>
        </w:rPr>
        <w:t>-</w:t>
      </w:r>
      <w:r>
        <w:rPr>
          <w:color w:val="000000"/>
        </w:rPr>
        <w:tab/>
        <w:t>instruct the identified HARQ process to generate a non-adaptive retransmission.</w:t>
      </w:r>
    </w:p>
    <w:p w:rsidR="00705DD0" w:rsidRDefault="00FE3213">
      <w:pPr>
        <w:pBdr>
          <w:top w:val="nil"/>
          <w:left w:val="nil"/>
          <w:bottom w:val="nil"/>
          <w:right w:val="nil"/>
          <w:between w:val="nil"/>
        </w:pBdr>
        <w:ind w:left="1418" w:hanging="284"/>
        <w:rPr>
          <w:color w:val="000000"/>
        </w:rPr>
      </w:pPr>
      <w:r>
        <w:rPr>
          <w:color w:val="000000"/>
        </w:rPr>
        <w:t>-</w:t>
      </w:r>
      <w:r>
        <w:rPr>
          <w:color w:val="000000"/>
        </w:rPr>
        <w:tab/>
        <w:t>else:</w:t>
      </w:r>
    </w:p>
    <w:p w:rsidR="00705DD0" w:rsidRDefault="00FE3213">
      <w:pPr>
        <w:pBdr>
          <w:top w:val="nil"/>
          <w:left w:val="nil"/>
          <w:bottom w:val="nil"/>
          <w:right w:val="nil"/>
          <w:between w:val="nil"/>
        </w:pBdr>
        <w:ind w:left="1702" w:hanging="284"/>
        <w:rPr>
          <w:color w:val="000000"/>
        </w:rPr>
      </w:pPr>
      <w:r>
        <w:rPr>
          <w:color w:val="000000"/>
        </w:rPr>
        <w:t>-</w:t>
      </w:r>
      <w:r>
        <w:rPr>
          <w:color w:val="000000"/>
        </w:rPr>
        <w:tab/>
        <w:t>obtain the MAC PDU to transmit from the "Multiplexing and assembly" entity, if any;</w:t>
      </w:r>
    </w:p>
    <w:p w:rsidR="00705DD0" w:rsidRDefault="00FE3213">
      <w:pPr>
        <w:pBdr>
          <w:top w:val="nil"/>
          <w:left w:val="nil"/>
          <w:bottom w:val="nil"/>
          <w:right w:val="nil"/>
          <w:between w:val="nil"/>
        </w:pBdr>
        <w:ind w:left="1418" w:hanging="284"/>
        <w:rPr>
          <w:color w:val="000000"/>
        </w:rPr>
      </w:pPr>
      <w:r>
        <w:rPr>
          <w:color w:val="000000"/>
        </w:rPr>
        <w:t>-</w:t>
      </w:r>
      <w:r>
        <w:rPr>
          <w:color w:val="000000"/>
        </w:rPr>
        <w:tab/>
        <w:t>if a MAC PDU to transmit has been obtained:</w:t>
      </w:r>
    </w:p>
    <w:p w:rsidR="00705DD0" w:rsidRDefault="00FE3213">
      <w:pPr>
        <w:pBdr>
          <w:top w:val="nil"/>
          <w:left w:val="nil"/>
          <w:bottom w:val="nil"/>
          <w:right w:val="nil"/>
          <w:between w:val="nil"/>
        </w:pBdr>
        <w:ind w:left="1702" w:hanging="284"/>
        <w:rPr>
          <w:color w:val="000000"/>
        </w:rPr>
      </w:pPr>
      <w:r>
        <w:rPr>
          <w:color w:val="000000"/>
        </w:rPr>
        <w:t>-</w:t>
      </w:r>
      <w:r>
        <w:rPr>
          <w:color w:val="000000"/>
        </w:rPr>
        <w:tab/>
        <w:t>deliver the MAC PDU and the uplink grant and the HARQ information to the identified HARQ process;</w:t>
      </w:r>
    </w:p>
    <w:p w:rsidR="00705DD0" w:rsidRDefault="00FE3213">
      <w:pPr>
        <w:pBdr>
          <w:top w:val="nil"/>
          <w:left w:val="nil"/>
          <w:bottom w:val="nil"/>
          <w:right w:val="nil"/>
          <w:between w:val="nil"/>
        </w:pBdr>
        <w:ind w:left="1702" w:hanging="284"/>
        <w:rPr>
          <w:color w:val="000000"/>
        </w:rPr>
      </w:pPr>
      <w:r>
        <w:rPr>
          <w:color w:val="000000"/>
        </w:rPr>
        <w:t>-</w:t>
      </w:r>
      <w:r>
        <w:rPr>
          <w:color w:val="000000"/>
        </w:rPr>
        <w:tab/>
        <w:t>instruct the identified HARQ process to trigger a new transmission.</w:t>
      </w:r>
    </w:p>
    <w:p w:rsidR="00705DD0" w:rsidRDefault="00FE3213">
      <w:pPr>
        <w:pBdr>
          <w:top w:val="nil"/>
          <w:left w:val="nil"/>
          <w:bottom w:val="nil"/>
          <w:right w:val="nil"/>
          <w:between w:val="nil"/>
        </w:pBdr>
        <w:ind w:left="1418" w:hanging="284"/>
        <w:rPr>
          <w:color w:val="000000"/>
        </w:rPr>
      </w:pPr>
      <w:ins w:id="5" w:author="Shiangrung (Google)" w:date="2018-04-04T14:13:00Z">
        <w:r>
          <w:rPr>
            <w:color w:val="000000"/>
          </w:rPr>
          <w:t>-</w:t>
        </w:r>
        <w:r>
          <w:rPr>
            <w:color w:val="000000"/>
          </w:rPr>
          <w:tab/>
          <w:t>else:</w:t>
        </w:r>
      </w:ins>
    </w:p>
    <w:p w:rsidR="00705DD0" w:rsidRDefault="00FE3213">
      <w:pPr>
        <w:pBdr>
          <w:top w:val="nil"/>
          <w:left w:val="nil"/>
          <w:bottom w:val="nil"/>
          <w:right w:val="nil"/>
          <w:between w:val="nil"/>
        </w:pBdr>
        <w:ind w:left="1702" w:hanging="284"/>
        <w:rPr>
          <w:color w:val="000000"/>
        </w:rPr>
      </w:pPr>
      <w:ins w:id="6" w:author="Shiangrung (Google)" w:date="2018-05-01T01:29:00Z">
        <w:r>
          <w:rPr>
            <w:color w:val="000000"/>
          </w:rPr>
          <w:t>-</w:t>
        </w:r>
        <w:r>
          <w:rPr>
            <w:color w:val="000000"/>
          </w:rPr>
          <w:tab/>
          <w:t>flush the HARQ buffer of the identified HARQ process.</w:t>
        </w:r>
      </w:ins>
    </w:p>
    <w:p w:rsidR="00705DD0" w:rsidRDefault="00FE3213">
      <w:pPr>
        <w:pBdr>
          <w:top w:val="nil"/>
          <w:left w:val="nil"/>
          <w:bottom w:val="nil"/>
          <w:right w:val="nil"/>
          <w:between w:val="nil"/>
        </w:pBdr>
        <w:ind w:left="1135" w:hanging="284"/>
        <w:rPr>
          <w:color w:val="000000"/>
        </w:rPr>
      </w:pPr>
      <w:r>
        <w:rPr>
          <w:color w:val="000000"/>
        </w:rPr>
        <w:t>-</w:t>
      </w:r>
      <w:r>
        <w:rPr>
          <w:color w:val="000000"/>
        </w:rPr>
        <w:tab/>
        <w:t>else:</w:t>
      </w:r>
    </w:p>
    <w:p w:rsidR="00705DD0" w:rsidRDefault="00FE3213">
      <w:pPr>
        <w:pBdr>
          <w:top w:val="nil"/>
          <w:left w:val="nil"/>
          <w:bottom w:val="nil"/>
          <w:right w:val="nil"/>
          <w:between w:val="nil"/>
        </w:pBdr>
        <w:ind w:left="1418" w:hanging="284"/>
        <w:rPr>
          <w:color w:val="000000"/>
        </w:rPr>
      </w:pPr>
      <w:r>
        <w:rPr>
          <w:color w:val="000000"/>
        </w:rPr>
        <w:t>-</w:t>
      </w:r>
      <w:r>
        <w:rPr>
          <w:color w:val="000000"/>
        </w:rPr>
        <w:tab/>
        <w:t xml:space="preserve">if the MAC entity is configured with </w:t>
      </w:r>
      <w:r>
        <w:rPr>
          <w:i/>
          <w:color w:val="000000"/>
        </w:rPr>
        <w:t>skipUplinkTxSPS</w:t>
      </w:r>
      <w:r>
        <w:rPr>
          <w:color w:val="000000"/>
        </w:rPr>
        <w:t xml:space="preserve"> and if the uplink grant received on PDCCH was addressed to the Semi-Persistent Scheduling C-RNTI and if the HARQ buffer of the identified process is empty:</w:t>
      </w:r>
    </w:p>
    <w:p w:rsidR="00705DD0" w:rsidRDefault="00FE3213">
      <w:pPr>
        <w:pBdr>
          <w:top w:val="nil"/>
          <w:left w:val="nil"/>
          <w:bottom w:val="nil"/>
          <w:right w:val="nil"/>
          <w:between w:val="nil"/>
        </w:pBdr>
        <w:ind w:left="1702" w:hanging="284"/>
        <w:rPr>
          <w:color w:val="000000"/>
        </w:rPr>
      </w:pPr>
      <w:r>
        <w:rPr>
          <w:color w:val="000000"/>
        </w:rPr>
        <w:t>-</w:t>
      </w:r>
      <w:r>
        <w:rPr>
          <w:color w:val="000000"/>
        </w:rPr>
        <w:tab/>
        <w:t>ignore the uplink grant;</w:t>
      </w:r>
    </w:p>
    <w:p w:rsidR="00705DD0" w:rsidRDefault="00FE3213">
      <w:pPr>
        <w:pBdr>
          <w:top w:val="nil"/>
          <w:left w:val="nil"/>
          <w:bottom w:val="nil"/>
          <w:right w:val="nil"/>
          <w:between w:val="nil"/>
        </w:pBdr>
        <w:ind w:left="1418" w:hanging="284"/>
        <w:rPr>
          <w:color w:val="000000"/>
        </w:rPr>
      </w:pPr>
      <w:r>
        <w:rPr>
          <w:color w:val="000000"/>
        </w:rPr>
        <w:t>-</w:t>
      </w:r>
      <w:r>
        <w:rPr>
          <w:color w:val="000000"/>
        </w:rPr>
        <w:tab/>
        <w:t>else:</w:t>
      </w:r>
    </w:p>
    <w:p w:rsidR="00705DD0" w:rsidRDefault="00FE3213">
      <w:pPr>
        <w:pBdr>
          <w:top w:val="nil"/>
          <w:left w:val="nil"/>
          <w:bottom w:val="nil"/>
          <w:right w:val="nil"/>
          <w:between w:val="nil"/>
        </w:pBdr>
        <w:ind w:left="1702" w:hanging="284"/>
        <w:rPr>
          <w:color w:val="000000"/>
        </w:rPr>
      </w:pPr>
      <w:r>
        <w:rPr>
          <w:color w:val="000000"/>
        </w:rPr>
        <w:t>-</w:t>
      </w:r>
      <w:r>
        <w:rPr>
          <w:color w:val="000000"/>
        </w:rPr>
        <w:tab/>
        <w:t>deliver the uplink grant and the HARQ information (redundancy version) to the identified HARQ process;</w:t>
      </w:r>
    </w:p>
    <w:p w:rsidR="00705DD0" w:rsidRDefault="00FE3213">
      <w:pPr>
        <w:pBdr>
          <w:top w:val="nil"/>
          <w:left w:val="nil"/>
          <w:bottom w:val="nil"/>
          <w:right w:val="nil"/>
          <w:between w:val="nil"/>
        </w:pBdr>
        <w:ind w:left="1702" w:hanging="284"/>
        <w:rPr>
          <w:color w:val="000000"/>
        </w:rPr>
      </w:pPr>
      <w:r>
        <w:rPr>
          <w:color w:val="000000"/>
        </w:rPr>
        <w:t>-</w:t>
      </w:r>
      <w:r>
        <w:rPr>
          <w:color w:val="000000"/>
        </w:rPr>
        <w:tab/>
        <w:t>instruct the identified HARQ process to generate an adaptive retransmission.</w:t>
      </w:r>
    </w:p>
    <w:p w:rsidR="00705DD0" w:rsidRDefault="00FE3213">
      <w:pPr>
        <w:pBdr>
          <w:top w:val="nil"/>
          <w:left w:val="nil"/>
          <w:bottom w:val="nil"/>
          <w:right w:val="nil"/>
          <w:between w:val="nil"/>
        </w:pBdr>
        <w:ind w:left="851" w:hanging="284"/>
        <w:rPr>
          <w:color w:val="000000"/>
        </w:rPr>
      </w:pPr>
      <w:r>
        <w:rPr>
          <w:color w:val="000000"/>
        </w:rPr>
        <w:t>-</w:t>
      </w:r>
      <w:r>
        <w:rPr>
          <w:color w:val="000000"/>
        </w:rPr>
        <w:tab/>
        <w:t>else, if the HARQ buffer of this HARQ process is not empty:</w:t>
      </w:r>
    </w:p>
    <w:p w:rsidR="00705DD0" w:rsidRDefault="00FE3213">
      <w:pPr>
        <w:pBdr>
          <w:top w:val="nil"/>
          <w:left w:val="nil"/>
          <w:bottom w:val="nil"/>
          <w:right w:val="nil"/>
          <w:between w:val="nil"/>
        </w:pBdr>
        <w:ind w:left="1135" w:hanging="284"/>
        <w:rPr>
          <w:color w:val="000000"/>
        </w:rPr>
      </w:pPr>
      <w:r>
        <w:rPr>
          <w:color w:val="000000"/>
        </w:rPr>
        <w:t>-</w:t>
      </w:r>
      <w:r>
        <w:rPr>
          <w:color w:val="000000"/>
        </w:rPr>
        <w:tab/>
        <w:t>instruct the identified HARQ process to generate a non-adaptive retransmission.</w:t>
      </w:r>
    </w:p>
    <w:p w:rsidR="00705DD0" w:rsidRDefault="00FE3213">
      <w:r>
        <w:t>When determining if NDI has been toggled compared to the value in the previous transmission the MAC entity shall ignore NDI received in all uplink grants on PDCCH for its Temporary C-RNTI.</w:t>
      </w:r>
    </w:p>
    <w:p w:rsidR="00705DD0" w:rsidRDefault="00705DD0">
      <w:pPr>
        <w:pStyle w:val="Heading4"/>
      </w:pPr>
    </w:p>
    <w:sectPr w:rsidR="00705DD0">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A9E" w:rsidRDefault="00476A9E">
      <w:pPr>
        <w:spacing w:after="0"/>
      </w:pPr>
      <w:r>
        <w:separator/>
      </w:r>
    </w:p>
  </w:endnote>
  <w:endnote w:type="continuationSeparator" w:id="0">
    <w:p w:rsidR="00476A9E" w:rsidRDefault="00476A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PMingLiU">
    <w:altName w:val="Microsoft JhengHei"/>
    <w:panose1 w:val="02010601000101010101"/>
    <w:charset w:val="88"/>
    <w:family w:val="auto"/>
    <w:pitch w:val="variable"/>
    <w:sig w:usb0="00000000"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A9E" w:rsidRDefault="00476A9E">
      <w:pPr>
        <w:spacing w:after="0"/>
      </w:pPr>
      <w:r>
        <w:separator/>
      </w:r>
    </w:p>
  </w:footnote>
  <w:footnote w:type="continuationSeparator" w:id="0">
    <w:p w:rsidR="00476A9E" w:rsidRDefault="00476A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5DD0" w:rsidRDefault="00FE3213">
    <w:r>
      <w:t xml:space="preserve">Page </w:t>
    </w:r>
    <w:r>
      <w:fldChar w:fldCharType="begin"/>
    </w:r>
    <w:r>
      <w:instrText>PAGE</w:instrTex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705DD0"/>
    <w:rsid w:val="000362E2"/>
    <w:rsid w:val="001774E3"/>
    <w:rsid w:val="002225E2"/>
    <w:rsid w:val="00232FA6"/>
    <w:rsid w:val="002A1113"/>
    <w:rsid w:val="002A4AA1"/>
    <w:rsid w:val="0030060B"/>
    <w:rsid w:val="00317D74"/>
    <w:rsid w:val="00330F6B"/>
    <w:rsid w:val="00354C99"/>
    <w:rsid w:val="003B2224"/>
    <w:rsid w:val="003D6DA4"/>
    <w:rsid w:val="0043495E"/>
    <w:rsid w:val="00455FA0"/>
    <w:rsid w:val="00476A9E"/>
    <w:rsid w:val="00560E11"/>
    <w:rsid w:val="005C22A1"/>
    <w:rsid w:val="005D5E13"/>
    <w:rsid w:val="006164DE"/>
    <w:rsid w:val="00705DD0"/>
    <w:rsid w:val="00794B05"/>
    <w:rsid w:val="008920A8"/>
    <w:rsid w:val="008E1F40"/>
    <w:rsid w:val="008F48CF"/>
    <w:rsid w:val="00916DA3"/>
    <w:rsid w:val="0093201A"/>
    <w:rsid w:val="00933AE6"/>
    <w:rsid w:val="009B50D4"/>
    <w:rsid w:val="00A643B5"/>
    <w:rsid w:val="00A90B12"/>
    <w:rsid w:val="00AE4EE8"/>
    <w:rsid w:val="00B77801"/>
    <w:rsid w:val="00BA2C1A"/>
    <w:rsid w:val="00C915CA"/>
    <w:rsid w:val="00D35719"/>
    <w:rsid w:val="00DA3726"/>
    <w:rsid w:val="00DD0195"/>
    <w:rsid w:val="00DD286C"/>
    <w:rsid w:val="00E1062D"/>
    <w:rsid w:val="00E63BD8"/>
    <w:rsid w:val="00F1525A"/>
    <w:rsid w:val="00F36E75"/>
    <w:rsid w:val="00F42B04"/>
    <w:rsid w:val="00FA4943"/>
    <w:rsid w:val="00FD4C02"/>
    <w:rsid w:val="00FE32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0CE45"/>
  <w15:docId w15:val="{DDD6A3B2-53FF-4AEA-98CA-90C647DBF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pPr>
      <w:keepNext/>
      <w:keepLines/>
      <w:pBdr>
        <w:top w:val="single" w:sz="12" w:space="3"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pPr>
      <w:keepNext/>
      <w:keepLines/>
      <w:pBdr>
        <w:top w:val="single" w:sz="12" w:space="3"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pPr>
      <w:keepNext/>
      <w:keepLines/>
      <w:pBdr>
        <w:top w:val="single" w:sz="12" w:space="3"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pPr>
      <w:keepNext/>
      <w:keepLines/>
      <w:pBdr>
        <w:top w:val="single" w:sz="12" w:space="3"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pPr>
      <w:keepNext/>
      <w:keepLines/>
      <w:pBdr>
        <w:top w:val="single" w:sz="12" w:space="3"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3</Pages>
  <Words>1311</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Shiangrung Ye (Google)</cp:lastModifiedBy>
  <cp:revision>25</cp:revision>
  <dcterms:created xsi:type="dcterms:W3CDTF">2018-05-03T09:16:00Z</dcterms:created>
  <dcterms:modified xsi:type="dcterms:W3CDTF">2018-05-18T01:36:00Z</dcterms:modified>
</cp:coreProperties>
</file>